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160" w:right="2174.400000000000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070" w:right="198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COLLEGE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140" w:right="42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890" w:right="2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WASHINGTON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40" w:lineRule="auto"/>
        <w:ind w:left="-24.000000000000057" w:right="321.6000000000008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Germanna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recognizing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facilitate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resolve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qualified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this 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limited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simultaneously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40" w:lineRule="auto"/>
        <w:ind w:left="-38.400000000000034" w:right="268.800000000001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accepted into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classes 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also enrolled 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 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40" w:lineRule="auto"/>
        <w:ind w:left="-38.400000000000034" w:right="268.8000000000011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Background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40" w:lineRule="auto"/>
        <w:ind w:left="-38.400000000000034" w:right="196.80000000000064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 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Virginia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Higher Education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Restructuring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institutions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charged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simultaneously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school back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 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steps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toward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realizing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Commonwealth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objectives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enhancing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college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production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Virginia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degrees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Virginia residents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partial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toward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-28.799999999999955" w:right="5130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Eligibility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Procedures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Guidelines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31.2" w:line="240" w:lineRule="auto"/>
        <w:ind w:left="720" w:right="220.79999999999927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eligible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coursework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GPA prior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applying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235.19999999999982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seeking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toward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Arts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Sciences 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187.20000000000027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wishing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requirement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attachments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deadlines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spring semester enrollment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"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signifies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acknowledgement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permission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concerning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behavioral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judicial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honor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violations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IC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transferred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earn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collect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tuition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rates 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current semester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facilities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Library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purchase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parking decal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prevailing rate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parking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advising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assistance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Office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Registrar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schedule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adjustment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begins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close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period)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Virginia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Tuition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Biographic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Demographic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 establish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GPA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admitted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seeking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earned grades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consideration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major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requiring that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GPA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admitted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grades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appear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unofficial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transcript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count toward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residency requirements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major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remain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continuously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admitted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requirements regarding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continuous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successfully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with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GPA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admitted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starting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indicated 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unable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begin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semester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stated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matriculation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Acceptance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programs 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competitive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through 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does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imply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acceptance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admitted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successful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guarantees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acceptance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transferable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credits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earned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lower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level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is guaranteed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Unless transferrable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fulfill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BSEd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language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Digital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Intensive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Diverse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Perspectives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Beyond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Classroom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Washington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satisfy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Intensive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Speaking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Intensive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courses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selected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normal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Guaranteed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academic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judicial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honor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safety at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violations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subject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institution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9446366782007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40830449827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Provost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Affairs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Workforce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designees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oversight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UMW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GCC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as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needed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adversely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affect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already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enrolled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961937716263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remain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terminated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advance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termination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students who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entered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advantage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termination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becomes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effective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3600" cy="243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